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D1B48" w14:textId="196C02FE" w:rsidR="00CC5E7F" w:rsidRPr="00C57C28" w:rsidRDefault="00CC5E7F" w:rsidP="00457BE0">
      <w:pPr>
        <w:jc w:val="center"/>
        <w:rPr>
          <w:rFonts w:ascii="Arial" w:hAnsi="Arial"/>
          <w:b/>
        </w:rPr>
      </w:pPr>
      <w:bookmarkStart w:id="0" w:name="_GoBack"/>
      <w:bookmarkEnd w:id="0"/>
      <w:r w:rsidRPr="00C57C28">
        <w:rPr>
          <w:rFonts w:ascii="Arial" w:hAnsi="Arial"/>
          <w:b/>
        </w:rPr>
        <w:t xml:space="preserve">PSMLA IMMERSION WORKSHOP </w:t>
      </w:r>
    </w:p>
    <w:p w14:paraId="240C7924" w14:textId="77777777" w:rsidR="0068064D" w:rsidRPr="00C57C28" w:rsidRDefault="0068064D" w:rsidP="00457BE0">
      <w:pPr>
        <w:jc w:val="center"/>
        <w:rPr>
          <w:rFonts w:ascii="Arial" w:hAnsi="Arial"/>
          <w:b/>
        </w:rPr>
      </w:pPr>
      <w:r w:rsidRPr="00C57C28">
        <w:rPr>
          <w:rFonts w:ascii="Arial" w:hAnsi="Arial"/>
          <w:b/>
        </w:rPr>
        <w:t>CHESTNUT HILL COLLEGE</w:t>
      </w:r>
      <w:r w:rsidR="00FC1F29" w:rsidRPr="00C57C28">
        <w:rPr>
          <w:rFonts w:ascii="Arial" w:hAnsi="Arial"/>
          <w:b/>
        </w:rPr>
        <w:t>, Philadelphia PA 19118</w:t>
      </w:r>
    </w:p>
    <w:p w14:paraId="5FBB870A" w14:textId="77777777" w:rsidR="00C57C28" w:rsidRPr="00E77086" w:rsidRDefault="00C57C28" w:rsidP="00457BE0">
      <w:pPr>
        <w:jc w:val="center"/>
        <w:rPr>
          <w:rFonts w:ascii="Arial" w:hAnsi="Arial"/>
          <w:b/>
          <w:sz w:val="10"/>
          <w:szCs w:val="10"/>
        </w:rPr>
      </w:pPr>
    </w:p>
    <w:p w14:paraId="38387063" w14:textId="39AEE3CE" w:rsidR="00C57C28" w:rsidRPr="00C57C28" w:rsidRDefault="00967270" w:rsidP="00457B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March 09, 2019</w:t>
      </w:r>
    </w:p>
    <w:p w14:paraId="05E68A35" w14:textId="77777777" w:rsidR="00C57C28" w:rsidRPr="00E77086" w:rsidRDefault="00C57C28" w:rsidP="002D5AFE">
      <w:pPr>
        <w:rPr>
          <w:rFonts w:ascii="Arial" w:eastAsia="Times New Roman" w:hAnsi="Arial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6840"/>
        <w:gridCol w:w="1378"/>
      </w:tblGrid>
      <w:tr w:rsidR="00C57C28" w:rsidRPr="008E12B9" w14:paraId="20B74AF5" w14:textId="77777777" w:rsidTr="008E12B9">
        <w:tc>
          <w:tcPr>
            <w:tcW w:w="1458" w:type="dxa"/>
            <w:tcBorders>
              <w:bottom w:val="single" w:sz="4" w:space="0" w:color="auto"/>
            </w:tcBorders>
          </w:tcPr>
          <w:p w14:paraId="189191EF" w14:textId="32C35147" w:rsidR="00C57C28" w:rsidRPr="008E12B9" w:rsidRDefault="00C57C28" w:rsidP="00C57C28">
            <w:pPr>
              <w:jc w:val="center"/>
              <w:rPr>
                <w:rFonts w:ascii="Arial" w:eastAsia="Times New Roman" w:hAnsi="Arial" w:cs="Times New Roman"/>
                <w:b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3984B9A" w14:textId="0A11D415" w:rsidR="00C57C28" w:rsidRPr="008E12B9" w:rsidRDefault="00C57C28" w:rsidP="00C57C28">
            <w:pPr>
              <w:jc w:val="center"/>
              <w:rPr>
                <w:rFonts w:ascii="Arial" w:eastAsia="Times New Roman" w:hAnsi="Arial" w:cs="Times New Roman"/>
                <w:b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b/>
                <w:sz w:val="22"/>
                <w:szCs w:val="22"/>
              </w:rPr>
              <w:t>Activity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4991B41" w14:textId="6901E173" w:rsidR="00C57C28" w:rsidRPr="008E12B9" w:rsidRDefault="00C57C28" w:rsidP="00C57C28">
            <w:pPr>
              <w:jc w:val="center"/>
              <w:rPr>
                <w:rFonts w:ascii="Arial" w:eastAsia="Times New Roman" w:hAnsi="Arial" w:cs="Times New Roman"/>
                <w:b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b/>
                <w:sz w:val="22"/>
                <w:szCs w:val="22"/>
              </w:rPr>
              <w:t>Location</w:t>
            </w:r>
          </w:p>
        </w:tc>
      </w:tr>
      <w:tr w:rsidR="00C57C28" w:rsidRPr="008E12B9" w14:paraId="57B07654" w14:textId="77777777" w:rsidTr="008E12B9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F02" w14:textId="6DB97A99" w:rsidR="00C57C28" w:rsidRPr="008E12B9" w:rsidRDefault="00B36558" w:rsidP="00C57C28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8:30-9:00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0523" w14:textId="77777777" w:rsidR="00C57C28" w:rsidRPr="008E12B9" w:rsidRDefault="00C57C28" w:rsidP="00C57C28">
            <w:pPr>
              <w:pStyle w:val="ListParagraph"/>
              <w:numPr>
                <w:ilvl w:val="0"/>
                <w:numId w:val="1"/>
              </w:numPr>
              <w:ind w:left="252" w:hanging="18"/>
              <w:rPr>
                <w:rFonts w:ascii="Arial" w:hAnsi="Arial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 xml:space="preserve">Registration </w:t>
            </w:r>
          </w:p>
          <w:p w14:paraId="5EDAD9A9" w14:textId="22FA0DC5" w:rsidR="00C57C28" w:rsidRPr="008E12B9" w:rsidRDefault="00C57C28" w:rsidP="00C57C28">
            <w:pPr>
              <w:pStyle w:val="ListParagraph"/>
              <w:numPr>
                <w:ilvl w:val="0"/>
                <w:numId w:val="1"/>
              </w:numPr>
              <w:ind w:left="252" w:hanging="18"/>
              <w:rPr>
                <w:rFonts w:ascii="Arial" w:hAnsi="Arial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Continental Breakfast</w:t>
            </w:r>
            <w:r w:rsidR="00C501EF" w:rsidRPr="008E12B9">
              <w:rPr>
                <w:rFonts w:ascii="Arial" w:eastAsia="Times New Roman" w:hAnsi="Arial" w:cs="Times New Roman"/>
                <w:sz w:val="22"/>
                <w:szCs w:val="22"/>
              </w:rPr>
              <w:t xml:space="preserve"> </w:t>
            </w: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ab/>
            </w:r>
          </w:p>
          <w:p w14:paraId="1E55535E" w14:textId="77777777" w:rsidR="00CD0CDA" w:rsidRPr="008E12B9" w:rsidRDefault="00C57C28" w:rsidP="00CD0CDA">
            <w:pPr>
              <w:pStyle w:val="ListParagraph"/>
              <w:numPr>
                <w:ilvl w:val="0"/>
                <w:numId w:val="1"/>
              </w:numPr>
              <w:ind w:left="252" w:hanging="18"/>
              <w:rPr>
                <w:rFonts w:ascii="Arial" w:hAnsi="Arial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Conversation in the target language</w:t>
            </w:r>
          </w:p>
          <w:p w14:paraId="0CE10719" w14:textId="5A508C81" w:rsidR="00C57C28" w:rsidRPr="008E12B9" w:rsidRDefault="00C57C28" w:rsidP="00C501EF">
            <w:pPr>
              <w:pStyle w:val="ListParagraph"/>
              <w:numPr>
                <w:ilvl w:val="0"/>
                <w:numId w:val="1"/>
              </w:numPr>
              <w:ind w:left="252" w:hanging="18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 xml:space="preserve">Time to visit exhibitors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9F59E" w14:textId="57E211E3" w:rsidR="00C57C28" w:rsidRPr="008E12B9" w:rsidRDefault="00656961" w:rsidP="00C57C28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5E0839">
              <w:rPr>
                <w:rFonts w:ascii="Arial" w:eastAsia="Times New Roman" w:hAnsi="Arial" w:cs="Times New Roman"/>
                <w:sz w:val="22"/>
                <w:szCs w:val="22"/>
              </w:rPr>
              <w:t>Redmond Room</w:t>
            </w:r>
          </w:p>
        </w:tc>
      </w:tr>
      <w:tr w:rsidR="00C57C28" w:rsidRPr="008E12B9" w14:paraId="6C3B024E" w14:textId="77777777" w:rsidTr="008E12B9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5CBE" w14:textId="042711E5" w:rsidR="00C57C28" w:rsidRPr="008E12B9" w:rsidRDefault="00C501EF" w:rsidP="00C57C28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9:1</w:t>
            </w:r>
            <w:r w:rsidR="00C57C28" w:rsidRPr="008E12B9">
              <w:rPr>
                <w:rFonts w:ascii="Arial" w:eastAsia="Times New Roman" w:hAnsi="Arial" w:cs="Times New Roman"/>
                <w:sz w:val="22"/>
                <w:szCs w:val="22"/>
              </w:rPr>
              <w:t>5-10:45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245" w14:textId="77777777" w:rsidR="00295A71" w:rsidRPr="008E12B9" w:rsidRDefault="00295A71" w:rsidP="00C57C2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7116B3F" w14:textId="77777777" w:rsidR="00624101" w:rsidRDefault="00F33A75" w:rsidP="00624101">
            <w:pPr>
              <w:jc w:val="center"/>
              <w:rPr>
                <w:rFonts w:ascii="Helvetica" w:eastAsia="Times New Roman" w:hAnsi="Helvetica" w:cs="Times New Roman"/>
                <w:color w:val="4B4F56"/>
                <w:sz w:val="22"/>
                <w:szCs w:val="22"/>
                <w:shd w:val="clear" w:color="auto" w:fill="FFFFFF"/>
              </w:rPr>
            </w:pPr>
            <w:r w:rsidRPr="008E12B9">
              <w:rPr>
                <w:rFonts w:ascii="Arial" w:hAnsi="Arial"/>
                <w:b/>
                <w:sz w:val="22"/>
                <w:szCs w:val="22"/>
              </w:rPr>
              <w:t xml:space="preserve">Session 1: </w:t>
            </w:r>
            <w:r w:rsidR="00C501EF" w:rsidRPr="008E12B9">
              <w:rPr>
                <w:rFonts w:ascii="Arial" w:hAnsi="Arial"/>
                <w:b/>
                <w:sz w:val="22"/>
                <w:szCs w:val="22"/>
              </w:rPr>
              <w:t>Plenary Session</w:t>
            </w:r>
            <w:r w:rsidR="0062410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24101">
              <w:rPr>
                <w:rFonts w:ascii="Helvetica" w:eastAsia="Times New Roman" w:hAnsi="Helvetica" w:cs="Times New Roman"/>
                <w:b/>
                <w:bCs/>
                <w:sz w:val="22"/>
                <w:szCs w:val="22"/>
              </w:rPr>
              <w:t xml:space="preserve">By </w:t>
            </w:r>
            <w:proofErr w:type="spellStart"/>
            <w:r w:rsidR="00624101" w:rsidRPr="00624101"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shd w:val="clear" w:color="auto" w:fill="FFFFFF"/>
              </w:rPr>
              <w:t>TriState</w:t>
            </w:r>
            <w:proofErr w:type="spellEnd"/>
            <w:r w:rsidR="00624101" w:rsidRPr="00624101"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TCI</w:t>
            </w:r>
          </w:p>
          <w:p w14:paraId="71B73158" w14:textId="77777777" w:rsidR="00C501EF" w:rsidRPr="00E77086" w:rsidRDefault="00C501EF" w:rsidP="00624101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406C2CB3" w14:textId="628EC79D" w:rsidR="00C501EF" w:rsidRDefault="00C501EF" w:rsidP="00C501EF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b/>
                <w:bCs/>
                <w:sz w:val="22"/>
                <w:szCs w:val="22"/>
              </w:rPr>
            </w:pPr>
            <w:r w:rsidRPr="008E12B9">
              <w:rPr>
                <w:rFonts w:ascii="Helvetica" w:eastAsia="Times New Roman" w:hAnsi="Helvetica" w:cs="Times New Roman"/>
                <w:b/>
                <w:bCs/>
                <w:sz w:val="22"/>
                <w:szCs w:val="22"/>
              </w:rPr>
              <w:t>From Zero to Literacy Through interaction, Personalization, and Collaborative W</w:t>
            </w:r>
            <w:r w:rsidRPr="00C501EF">
              <w:rPr>
                <w:rFonts w:ascii="Helvetica" w:eastAsia="Times New Roman" w:hAnsi="Helvetica" w:cs="Times New Roman"/>
                <w:b/>
                <w:bCs/>
                <w:sz w:val="22"/>
                <w:szCs w:val="22"/>
              </w:rPr>
              <w:t>riting</w:t>
            </w:r>
            <w:r w:rsidR="00624101">
              <w:rPr>
                <w:rFonts w:ascii="Helvetica" w:eastAsia="Times New Roman" w:hAnsi="Helvetica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0C8AB46" w14:textId="77777777" w:rsidR="00624101" w:rsidRPr="00E77086" w:rsidRDefault="00624101" w:rsidP="00624101">
            <w:pPr>
              <w:rPr>
                <w:rFonts w:ascii="Helvetica" w:eastAsia="Times New Roman" w:hAnsi="Helvetica" w:cs="Times New Roman"/>
                <w:color w:val="4B4F56"/>
                <w:sz w:val="10"/>
                <w:szCs w:val="10"/>
                <w:shd w:val="clear" w:color="auto" w:fill="FFFFFF"/>
              </w:rPr>
            </w:pPr>
          </w:p>
          <w:p w14:paraId="59E0164B" w14:textId="77777777" w:rsidR="008E12B9" w:rsidRDefault="00C501EF" w:rsidP="00624101">
            <w:pPr>
              <w:rPr>
                <w:rFonts w:ascii="Helvetica" w:eastAsia="Times New Roman" w:hAnsi="Helvetica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E12B9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This session will serve as an introduction to Teaching with Comprehensible Input (TCI). The demo will be in M</w:t>
            </w:r>
            <w:r w:rsidRPr="00C501EF">
              <w:rPr>
                <w:rFonts w:ascii="Helvetica" w:eastAsia="Times New Roman" w:hAnsi="Helvetica" w:cs="Times New Roman"/>
                <w:sz w:val="22"/>
                <w:szCs w:val="22"/>
              </w:rPr>
              <w:t xml:space="preserve">andarin, modeling comprehension-focused interaction around </w:t>
            </w:r>
            <w:proofErr w:type="spellStart"/>
            <w:r w:rsidRPr="00C501EF">
              <w:rPr>
                <w:rFonts w:ascii="Helvetica" w:eastAsia="Times New Roman" w:hAnsi="Helvetica" w:cs="Times New Roman"/>
                <w:sz w:val="22"/>
                <w:szCs w:val="22"/>
              </w:rPr>
              <w:t>PictureTalk</w:t>
            </w:r>
            <w:proofErr w:type="spellEnd"/>
            <w:r w:rsidRPr="00C501EF">
              <w:rPr>
                <w:rFonts w:ascii="Helvetica" w:eastAsia="Times New Roman" w:hAnsi="Helvetica" w:cs="Times New Roman"/>
                <w:sz w:val="22"/>
                <w:szCs w:val="22"/>
              </w:rPr>
              <w:t xml:space="preserve"> and personali</w:t>
            </w:r>
            <w:r w:rsidRPr="008E12B9">
              <w:rPr>
                <w:rFonts w:ascii="Helvetica" w:eastAsia="Times New Roman" w:hAnsi="Helvetica" w:cs="Times New Roman"/>
                <w:sz w:val="22"/>
                <w:szCs w:val="22"/>
              </w:rPr>
              <w:t xml:space="preserve">zed questions and answers (PQA). It will culminate with </w:t>
            </w:r>
            <w:r w:rsidRPr="00C501EF">
              <w:rPr>
                <w:rFonts w:ascii="Helvetica" w:eastAsia="Times New Roman" w:hAnsi="Helvetica" w:cs="Times New Roman"/>
                <w:sz w:val="22"/>
                <w:szCs w:val="22"/>
              </w:rPr>
              <w:t xml:space="preserve">Write and Discuss/Live </w:t>
            </w:r>
            <w:r w:rsidRPr="008E12B9">
              <w:rPr>
                <w:rFonts w:ascii="Helvetica" w:eastAsia="Times New Roman" w:hAnsi="Helvetica" w:cs="Times New Roman"/>
                <w:sz w:val="22"/>
                <w:szCs w:val="22"/>
              </w:rPr>
              <w:t xml:space="preserve">Typing, accompanied by </w:t>
            </w:r>
            <w:r w:rsidRPr="00C501EF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reflection and </w:t>
            </w:r>
            <w:r w:rsidRPr="008E12B9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time to </w:t>
            </w:r>
            <w:r w:rsidRPr="00C501EF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debrief. </w:t>
            </w:r>
            <w:proofErr w:type="spellStart"/>
            <w:r w:rsidR="00624101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TriState</w:t>
            </w:r>
            <w:proofErr w:type="spellEnd"/>
            <w:r w:rsidR="00624101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TCI </w:t>
            </w:r>
            <w:r w:rsidR="00624101" w:rsidRPr="00624101">
              <w:rPr>
                <w:rFonts w:ascii="Helvetica" w:eastAsia="Times New Roman" w:hAnsi="Helvetica" w:cs="Times New Roman"/>
                <w:color w:val="auto"/>
                <w:sz w:val="22"/>
                <w:szCs w:val="22"/>
                <w:shd w:val="clear" w:color="auto" w:fill="FFFFFF"/>
              </w:rPr>
              <w:t>connects teachers from around the PA-NJ-DE area (and beyond!) in sharing and exploring strategies to teach World Languages with Comprehensible Input</w:t>
            </w:r>
            <w:r w:rsidR="00624101">
              <w:rPr>
                <w:rFonts w:ascii="Helvetica" w:eastAsia="Times New Roman" w:hAnsi="Helvetica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14:paraId="66CAB1E6" w14:textId="19347183" w:rsidR="00E77086" w:rsidRPr="00624101" w:rsidRDefault="00E77086" w:rsidP="00624101">
            <w:pPr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7AC56" w14:textId="5DF2AAA4" w:rsidR="00C57C28" w:rsidRPr="008E12B9" w:rsidRDefault="005E0839" w:rsidP="00C57C28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  <w:highlight w:val="yellow"/>
              </w:rPr>
            </w:pPr>
            <w:r w:rsidRPr="005E0839">
              <w:rPr>
                <w:rFonts w:ascii="Arial" w:eastAsia="Times New Roman" w:hAnsi="Arial" w:cs="Times New Roman"/>
                <w:sz w:val="22"/>
                <w:szCs w:val="22"/>
              </w:rPr>
              <w:t>Redmond Room</w:t>
            </w:r>
          </w:p>
        </w:tc>
      </w:tr>
      <w:tr w:rsidR="00C57C28" w:rsidRPr="008E12B9" w14:paraId="76C4CAFF" w14:textId="77777777" w:rsidTr="008E12B9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57FB2" w14:textId="1E4C5C5E" w:rsidR="00295A71" w:rsidRPr="008E12B9" w:rsidRDefault="00295A71" w:rsidP="00C57C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E09D5D" w14:textId="77777777" w:rsidR="00C57C28" w:rsidRPr="008E12B9" w:rsidRDefault="00295A71" w:rsidP="00C57C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E12B9">
              <w:rPr>
                <w:rFonts w:ascii="Arial" w:hAnsi="Arial"/>
                <w:sz w:val="22"/>
                <w:szCs w:val="22"/>
              </w:rPr>
              <w:t>10:45-11:00</w:t>
            </w:r>
          </w:p>
          <w:p w14:paraId="2ED46AD7" w14:textId="1BADA5ED" w:rsidR="00295A71" w:rsidRPr="008E12B9" w:rsidRDefault="00295A71" w:rsidP="00C57C28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702D" w14:textId="77777777" w:rsidR="00295A71" w:rsidRPr="008E12B9" w:rsidRDefault="00295A71" w:rsidP="0026426F">
            <w:pPr>
              <w:pStyle w:val="ListParagraph"/>
              <w:numPr>
                <w:ilvl w:val="0"/>
                <w:numId w:val="2"/>
              </w:numPr>
              <w:ind w:left="252" w:hanging="18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Break</w:t>
            </w:r>
          </w:p>
          <w:p w14:paraId="1B6995AA" w14:textId="77777777" w:rsidR="0026426F" w:rsidRPr="008E12B9" w:rsidRDefault="0026426F" w:rsidP="0026426F">
            <w:pPr>
              <w:pStyle w:val="ListParagraph"/>
              <w:numPr>
                <w:ilvl w:val="0"/>
                <w:numId w:val="2"/>
              </w:numPr>
              <w:ind w:left="252" w:hanging="18"/>
              <w:rPr>
                <w:rFonts w:ascii="Arial" w:hAnsi="Arial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Conversation in the target language</w:t>
            </w:r>
          </w:p>
          <w:p w14:paraId="2613815D" w14:textId="2D606499" w:rsidR="0026426F" w:rsidRPr="008E12B9" w:rsidRDefault="0026426F" w:rsidP="0026426F">
            <w:pPr>
              <w:pStyle w:val="ListParagraph"/>
              <w:numPr>
                <w:ilvl w:val="0"/>
                <w:numId w:val="2"/>
              </w:numPr>
              <w:ind w:left="252" w:hanging="18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 xml:space="preserve">Time to visit exhibitors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69CA8" w14:textId="43CEBB82" w:rsidR="00295A71" w:rsidRPr="008E12B9" w:rsidRDefault="00656961" w:rsidP="00E90074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  <w:highlight w:val="yellow"/>
              </w:rPr>
            </w:pPr>
            <w:r w:rsidRPr="005E0839">
              <w:rPr>
                <w:rFonts w:ascii="Arial" w:eastAsia="Times New Roman" w:hAnsi="Arial" w:cs="Times New Roman"/>
                <w:sz w:val="22"/>
                <w:szCs w:val="22"/>
              </w:rPr>
              <w:t>Redmond Room</w:t>
            </w:r>
          </w:p>
        </w:tc>
      </w:tr>
      <w:tr w:rsidR="00C57C28" w:rsidRPr="008E12B9" w14:paraId="4493D472" w14:textId="77777777" w:rsidTr="008E12B9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7D0A" w14:textId="289CA449" w:rsidR="00C57C28" w:rsidRPr="008E12B9" w:rsidRDefault="0026426F" w:rsidP="00C57C28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11:00-12:00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3047B" w14:textId="77777777" w:rsidR="00F33A75" w:rsidRPr="008E12B9" w:rsidRDefault="00F33A75" w:rsidP="00A1421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AD6B590" w14:textId="19253969" w:rsidR="00A14213" w:rsidRPr="008E12B9" w:rsidRDefault="00F33A75" w:rsidP="00A14213">
            <w:pPr>
              <w:jc w:val="center"/>
              <w:rPr>
                <w:rFonts w:ascii="Arial" w:eastAsia="Times New Roman" w:hAnsi="Arial" w:cs="Times New Roman"/>
                <w:b/>
                <w:sz w:val="22"/>
                <w:szCs w:val="22"/>
              </w:rPr>
            </w:pPr>
            <w:r w:rsidRPr="008E12B9">
              <w:rPr>
                <w:rFonts w:ascii="Arial" w:hAnsi="Arial"/>
                <w:b/>
                <w:sz w:val="22"/>
                <w:szCs w:val="22"/>
              </w:rPr>
              <w:t xml:space="preserve">Session 2 - </w:t>
            </w:r>
            <w:r w:rsidR="00A14213" w:rsidRPr="008E12B9">
              <w:rPr>
                <w:rFonts w:ascii="Arial" w:hAnsi="Arial"/>
                <w:b/>
                <w:sz w:val="22"/>
                <w:szCs w:val="22"/>
              </w:rPr>
              <w:t>Language Specific Sessions</w:t>
            </w:r>
          </w:p>
          <w:p w14:paraId="6A001DFE" w14:textId="77777777" w:rsidR="00A14213" w:rsidRPr="00E77086" w:rsidRDefault="00A14213" w:rsidP="00A14213">
            <w:pPr>
              <w:rPr>
                <w:rFonts w:ascii="Arial" w:eastAsia="Times New Roman" w:hAnsi="Arial" w:cs="Times New Roman"/>
                <w:sz w:val="10"/>
                <w:szCs w:val="10"/>
              </w:rPr>
            </w:pPr>
          </w:p>
          <w:p w14:paraId="14B0B36D" w14:textId="77777777" w:rsidR="008E12B9" w:rsidRDefault="00F33A75" w:rsidP="00624101">
            <w:pPr>
              <w:ind w:left="252" w:right="252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 xml:space="preserve">There will be language specific sessions in Mandarin Chinese, French, and Spanish. During this time, participants will be able to ask follow-up questions and practice the techniques modeled in the plenary session. </w:t>
            </w:r>
            <w:r w:rsidRPr="00F33A75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Fac</w:t>
            </w:r>
            <w:r w:rsidRPr="008E12B9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ilitators will model the Write and D</w:t>
            </w:r>
            <w:r w:rsidRPr="00F33A75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iscuss </w:t>
            </w:r>
            <w:r w:rsidRPr="008E12B9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technique in the group’s target language and build </w:t>
            </w:r>
            <w:r w:rsidRPr="00F33A75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on </w:t>
            </w:r>
            <w:r w:rsidRPr="008E12B9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what was learned</w:t>
            </w:r>
            <w:r w:rsidRPr="00F33A75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in the plenary session. Participants will then break into small groups to practice and develop their own activities in the target language.</w:t>
            </w:r>
          </w:p>
          <w:p w14:paraId="5245D1C2" w14:textId="6074DFBC" w:rsidR="00E77086" w:rsidRPr="008E12B9" w:rsidRDefault="00E77086" w:rsidP="00624101">
            <w:pPr>
              <w:ind w:left="252" w:right="252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CD352" w14:textId="4A81E44A" w:rsidR="00C57C28" w:rsidRPr="008E12B9" w:rsidRDefault="005E0839" w:rsidP="00C57C28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Classrooms</w:t>
            </w:r>
          </w:p>
        </w:tc>
      </w:tr>
      <w:tr w:rsidR="00C57C28" w:rsidRPr="008E12B9" w14:paraId="3471B87B" w14:textId="77777777" w:rsidTr="008E12B9">
        <w:trPr>
          <w:trHeight w:val="90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E337" w14:textId="297601F1" w:rsidR="00C57C28" w:rsidRPr="008E12B9" w:rsidRDefault="0026426F" w:rsidP="00F33A75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12:</w:t>
            </w:r>
            <w:r w:rsidR="00F33A75" w:rsidRPr="008E12B9">
              <w:rPr>
                <w:rFonts w:ascii="Arial" w:eastAsia="Times New Roman" w:hAnsi="Arial" w:cs="Times New Roman"/>
                <w:sz w:val="22"/>
                <w:szCs w:val="22"/>
              </w:rPr>
              <w:t>00</w:t>
            </w: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-1:</w:t>
            </w:r>
            <w:r w:rsidR="00F33A75" w:rsidRPr="008E12B9">
              <w:rPr>
                <w:rFonts w:ascii="Arial" w:eastAsia="Times New Roman" w:hAnsi="Arial" w:cs="Times New Roman"/>
                <w:sz w:val="22"/>
                <w:szCs w:val="22"/>
              </w:rPr>
              <w:t>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A2D9" w14:textId="77777777" w:rsidR="00C57C28" w:rsidRPr="008E12B9" w:rsidRDefault="0026426F" w:rsidP="0026426F">
            <w:pPr>
              <w:pStyle w:val="ListParagraph"/>
              <w:numPr>
                <w:ilvl w:val="0"/>
                <w:numId w:val="4"/>
              </w:numPr>
              <w:ind w:left="252" w:hanging="18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International Luncheon</w:t>
            </w:r>
          </w:p>
          <w:p w14:paraId="595B25CA" w14:textId="77777777" w:rsidR="0026426F" w:rsidRPr="008E12B9" w:rsidRDefault="0026426F" w:rsidP="0026426F">
            <w:pPr>
              <w:pStyle w:val="ListParagraph"/>
              <w:numPr>
                <w:ilvl w:val="0"/>
                <w:numId w:val="4"/>
              </w:numPr>
              <w:ind w:left="252" w:hanging="18"/>
              <w:rPr>
                <w:rFonts w:ascii="Arial" w:hAnsi="Arial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Conversation in the target language</w:t>
            </w:r>
          </w:p>
          <w:p w14:paraId="0B9EB1F7" w14:textId="18C590C0" w:rsidR="0026426F" w:rsidRPr="008E12B9" w:rsidRDefault="0026426F" w:rsidP="0026426F">
            <w:pPr>
              <w:pStyle w:val="ListParagraph"/>
              <w:numPr>
                <w:ilvl w:val="0"/>
                <w:numId w:val="4"/>
              </w:numPr>
              <w:ind w:left="252" w:hanging="18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Time to visit exhibitors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E034E" w14:textId="1E6E3A42" w:rsidR="00C57C28" w:rsidRPr="008E12B9" w:rsidRDefault="00656961" w:rsidP="00C57C28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  <w:highlight w:val="yellow"/>
              </w:rPr>
            </w:pPr>
            <w:r w:rsidRPr="005E0839">
              <w:rPr>
                <w:rFonts w:ascii="Arial" w:eastAsia="Times New Roman" w:hAnsi="Arial" w:cs="Times New Roman"/>
                <w:sz w:val="22"/>
                <w:szCs w:val="22"/>
              </w:rPr>
              <w:t>Redmond Room</w:t>
            </w:r>
          </w:p>
        </w:tc>
      </w:tr>
      <w:tr w:rsidR="00C57C28" w:rsidRPr="008E12B9" w14:paraId="2A77A332" w14:textId="77777777" w:rsidTr="008E12B9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04CE" w14:textId="06EAC73C" w:rsidR="00C57C28" w:rsidRPr="008E12B9" w:rsidRDefault="0026426F" w:rsidP="00F33A75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1:</w:t>
            </w:r>
            <w:r w:rsidR="00F33A75" w:rsidRPr="008E12B9">
              <w:rPr>
                <w:rFonts w:ascii="Arial" w:eastAsia="Times New Roman" w:hAnsi="Arial" w:cs="Times New Roman"/>
                <w:sz w:val="22"/>
                <w:szCs w:val="22"/>
              </w:rPr>
              <w:t>00</w:t>
            </w: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-2:</w:t>
            </w:r>
            <w:r w:rsidR="00F33A75" w:rsidRPr="008E12B9">
              <w:rPr>
                <w:rFonts w:ascii="Arial" w:eastAsia="Times New Roman" w:hAnsi="Arial" w:cs="Times New Roman"/>
                <w:sz w:val="22"/>
                <w:szCs w:val="22"/>
              </w:rPr>
              <w:t>0</w:t>
            </w: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E38C" w14:textId="77777777" w:rsidR="008E12B9" w:rsidRPr="008E12B9" w:rsidRDefault="008E12B9" w:rsidP="0026426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925BDF" w14:textId="273E2FDE" w:rsidR="0026426F" w:rsidRPr="008E12B9" w:rsidRDefault="00F33A75" w:rsidP="0026426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E12B9">
              <w:rPr>
                <w:rFonts w:ascii="Arial" w:hAnsi="Arial"/>
                <w:b/>
                <w:sz w:val="22"/>
                <w:szCs w:val="22"/>
              </w:rPr>
              <w:t xml:space="preserve">Session 3 </w:t>
            </w:r>
            <w:r w:rsidR="008E12B9" w:rsidRPr="008E12B9">
              <w:rPr>
                <w:rFonts w:ascii="Arial" w:hAnsi="Arial"/>
                <w:b/>
                <w:sz w:val="22"/>
                <w:szCs w:val="22"/>
              </w:rPr>
              <w:t>- Participants</w:t>
            </w:r>
            <w:r w:rsidR="008E12B9">
              <w:rPr>
                <w:rFonts w:ascii="Arial" w:hAnsi="Arial"/>
                <w:b/>
                <w:sz w:val="22"/>
                <w:szCs w:val="22"/>
              </w:rPr>
              <w:t>’</w:t>
            </w:r>
            <w:r w:rsidR="008E12B9" w:rsidRPr="008E12B9">
              <w:rPr>
                <w:rFonts w:ascii="Arial" w:hAnsi="Arial"/>
                <w:b/>
                <w:sz w:val="22"/>
                <w:szCs w:val="22"/>
              </w:rPr>
              <w:t xml:space="preserve"> Choice</w:t>
            </w:r>
          </w:p>
          <w:p w14:paraId="65C94C8F" w14:textId="77777777" w:rsidR="008E12B9" w:rsidRPr="00E77086" w:rsidRDefault="008E12B9" w:rsidP="0026426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301215A0" w14:textId="46877CD7" w:rsidR="00E15588" w:rsidRPr="008E12B9" w:rsidRDefault="008E12B9" w:rsidP="00F33A75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 w:rsidRPr="008E12B9">
              <w:rPr>
                <w:rFonts w:ascii="Arial" w:hAnsi="Arial"/>
                <w:sz w:val="22"/>
                <w:szCs w:val="22"/>
              </w:rPr>
              <w:t xml:space="preserve">Small group discussions based on topic and/or language. During this time, participants will be able to choose their group based on interest. We will poll the group at the beginning of the day to determine points of </w:t>
            </w:r>
            <w:r>
              <w:rPr>
                <w:rFonts w:ascii="Arial" w:hAnsi="Arial"/>
                <w:sz w:val="22"/>
                <w:szCs w:val="22"/>
              </w:rPr>
              <w:t>interest, but some examples may</w:t>
            </w:r>
            <w:r w:rsidRPr="008E12B9">
              <w:rPr>
                <w:rFonts w:ascii="Arial" w:hAnsi="Arial"/>
                <w:sz w:val="22"/>
                <w:szCs w:val="22"/>
              </w:rPr>
              <w:t xml:space="preserve"> include best practices in world language instruction, continued follow up from the morning sessions</w:t>
            </w:r>
            <w:r>
              <w:rPr>
                <w:rFonts w:ascii="Arial" w:hAnsi="Arial"/>
                <w:sz w:val="22"/>
                <w:szCs w:val="22"/>
              </w:rPr>
              <w:t>, and conversations in the target language.</w:t>
            </w:r>
          </w:p>
          <w:p w14:paraId="2A83C3E9" w14:textId="7FAE7E5F" w:rsidR="00C57C28" w:rsidRPr="008E12B9" w:rsidRDefault="00DB4015" w:rsidP="00F33A75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 xml:space="preserve">Wine Raffle and </w:t>
            </w:r>
            <w:r w:rsidR="008E12B9">
              <w:rPr>
                <w:rFonts w:ascii="Arial" w:eastAsia="Times New Roman" w:hAnsi="Arial" w:cs="Times New Roman"/>
                <w:sz w:val="22"/>
                <w:szCs w:val="22"/>
              </w:rPr>
              <w:t>Workshop Evaluation</w:t>
            </w:r>
          </w:p>
          <w:p w14:paraId="0027F635" w14:textId="470E8FD5" w:rsidR="008E12B9" w:rsidRPr="00E77086" w:rsidRDefault="00DB4015" w:rsidP="00E77086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 w:rsidRPr="008E12B9">
              <w:rPr>
                <w:rFonts w:ascii="Arial" w:eastAsia="Times New Roman" w:hAnsi="Arial" w:cs="Times New Roman"/>
                <w:sz w:val="22"/>
                <w:szCs w:val="22"/>
              </w:rPr>
              <w:t>Certificates and Act 48 Processing</w:t>
            </w:r>
            <w:r w:rsidR="00E77086">
              <w:rPr>
                <w:rFonts w:ascii="Arial" w:eastAsia="Times New Roman" w:hAnsi="Arial" w:cs="Times New Roman"/>
                <w:sz w:val="22"/>
                <w:szCs w:val="22"/>
              </w:rPr>
              <w:br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CF88B" w14:textId="1DABF22B" w:rsidR="00C57C28" w:rsidRPr="008E12B9" w:rsidRDefault="00656961" w:rsidP="00C57C28">
            <w:pPr>
              <w:jc w:val="center"/>
              <w:rPr>
                <w:rFonts w:ascii="Arial" w:eastAsia="Times New Roman" w:hAnsi="Arial" w:cs="Times New Roman"/>
                <w:sz w:val="22"/>
                <w:szCs w:val="22"/>
                <w:highlight w:val="yellow"/>
              </w:rPr>
            </w:pPr>
            <w:r w:rsidRPr="005E0839">
              <w:rPr>
                <w:rFonts w:ascii="Arial" w:eastAsia="Times New Roman" w:hAnsi="Arial" w:cs="Times New Roman"/>
                <w:sz w:val="22"/>
                <w:szCs w:val="22"/>
              </w:rPr>
              <w:t>Redmond Room</w:t>
            </w:r>
          </w:p>
        </w:tc>
      </w:tr>
    </w:tbl>
    <w:p w14:paraId="36AC76FB" w14:textId="77777777" w:rsidR="00C302A5" w:rsidRPr="008E12B9" w:rsidRDefault="00C302A5" w:rsidP="00E15588">
      <w:pPr>
        <w:rPr>
          <w:rFonts w:ascii="Arial" w:hAnsi="Arial"/>
          <w:sz w:val="22"/>
          <w:szCs w:val="22"/>
        </w:rPr>
      </w:pPr>
    </w:p>
    <w:sectPr w:rsidR="00C302A5" w:rsidRPr="008E12B9" w:rsidSect="00624101">
      <w:type w:val="continuous"/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6DC"/>
    <w:multiLevelType w:val="hybridMultilevel"/>
    <w:tmpl w:val="617A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0227"/>
    <w:multiLevelType w:val="hybridMultilevel"/>
    <w:tmpl w:val="8E54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80314"/>
    <w:multiLevelType w:val="hybridMultilevel"/>
    <w:tmpl w:val="8C24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F108A"/>
    <w:multiLevelType w:val="hybridMultilevel"/>
    <w:tmpl w:val="7ED2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D5FE0"/>
    <w:multiLevelType w:val="hybridMultilevel"/>
    <w:tmpl w:val="998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B268E"/>
    <w:multiLevelType w:val="hybridMultilevel"/>
    <w:tmpl w:val="5C3E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FE"/>
    <w:rsid w:val="00074BEC"/>
    <w:rsid w:val="00134049"/>
    <w:rsid w:val="001F0CD3"/>
    <w:rsid w:val="0020081E"/>
    <w:rsid w:val="00210428"/>
    <w:rsid w:val="00257726"/>
    <w:rsid w:val="0026426F"/>
    <w:rsid w:val="00295A71"/>
    <w:rsid w:val="002D5AFE"/>
    <w:rsid w:val="003331A4"/>
    <w:rsid w:val="003929AD"/>
    <w:rsid w:val="003D218C"/>
    <w:rsid w:val="003E4B43"/>
    <w:rsid w:val="003F198C"/>
    <w:rsid w:val="004063C6"/>
    <w:rsid w:val="0042205C"/>
    <w:rsid w:val="00440F17"/>
    <w:rsid w:val="00442D49"/>
    <w:rsid w:val="004572D0"/>
    <w:rsid w:val="00457BE0"/>
    <w:rsid w:val="00477175"/>
    <w:rsid w:val="0049784E"/>
    <w:rsid w:val="004B2047"/>
    <w:rsid w:val="004F438D"/>
    <w:rsid w:val="0052693F"/>
    <w:rsid w:val="00571C64"/>
    <w:rsid w:val="005E0839"/>
    <w:rsid w:val="00624101"/>
    <w:rsid w:val="00656961"/>
    <w:rsid w:val="0068064D"/>
    <w:rsid w:val="006B49AB"/>
    <w:rsid w:val="006F2DFC"/>
    <w:rsid w:val="00725D8B"/>
    <w:rsid w:val="00746799"/>
    <w:rsid w:val="007800D9"/>
    <w:rsid w:val="007E0272"/>
    <w:rsid w:val="00844665"/>
    <w:rsid w:val="00870EE1"/>
    <w:rsid w:val="008738C7"/>
    <w:rsid w:val="008E12B9"/>
    <w:rsid w:val="00967270"/>
    <w:rsid w:val="00A14213"/>
    <w:rsid w:val="00A667F2"/>
    <w:rsid w:val="00A81CEB"/>
    <w:rsid w:val="00AB646D"/>
    <w:rsid w:val="00AF5755"/>
    <w:rsid w:val="00B059BA"/>
    <w:rsid w:val="00B36558"/>
    <w:rsid w:val="00C302A5"/>
    <w:rsid w:val="00C35816"/>
    <w:rsid w:val="00C501EF"/>
    <w:rsid w:val="00C57C28"/>
    <w:rsid w:val="00CB02A4"/>
    <w:rsid w:val="00CB51DD"/>
    <w:rsid w:val="00CC5E7F"/>
    <w:rsid w:val="00CD0CDA"/>
    <w:rsid w:val="00CE121F"/>
    <w:rsid w:val="00D541F2"/>
    <w:rsid w:val="00DB4015"/>
    <w:rsid w:val="00DD5E64"/>
    <w:rsid w:val="00E15588"/>
    <w:rsid w:val="00E66612"/>
    <w:rsid w:val="00E77086"/>
    <w:rsid w:val="00E90074"/>
    <w:rsid w:val="00F33A75"/>
    <w:rsid w:val="00F44E84"/>
    <w:rsid w:val="00F850C7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7F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5AF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D3"/>
    <w:rPr>
      <w:rFonts w:ascii="Tahoma" w:eastAsia="Cambri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C5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6799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5AF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D3"/>
    <w:rPr>
      <w:rFonts w:ascii="Tahoma" w:eastAsia="Cambri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C5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6799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Kashuba SSJ, Mary Helen</dc:creator>
  <cp:lastModifiedBy>John Grande</cp:lastModifiedBy>
  <cp:revision>2</cp:revision>
  <cp:lastPrinted>2019-01-23T01:58:00Z</cp:lastPrinted>
  <dcterms:created xsi:type="dcterms:W3CDTF">2019-01-23T12:10:00Z</dcterms:created>
  <dcterms:modified xsi:type="dcterms:W3CDTF">2019-01-23T12:10:00Z</dcterms:modified>
</cp:coreProperties>
</file>